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ind w:left="0" w:firstLine="0"/>
        <w:spacing w:line="271" w:lineRule="auto"/>
        <w:jc w:val="center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Информация</w:t>
      </w:r>
    </w:p>
    <w:p>
      <w:pPr>
        <w:ind w:left="0" w:firstLine="0"/>
        <w:spacing w:line="271" w:lineRule="auto"/>
        <w:jc w:val="center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 xml:space="preserve">для субъектов малого и среднего предпринимательства  </w:t>
      </w:r>
    </w:p>
    <w:p>
      <w:pPr>
        <w:ind w:left="0" w:firstLine="0"/>
        <w:spacing w:line="271" w:lineRule="auto"/>
        <w:jc w:val="center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согласно части 2 статьи 19 Федерального закона от 24.07.2007 № 209-ФЗ</w:t>
      </w:r>
    </w:p>
    <w:p>
      <w:pPr>
        <w:ind w:left="0" w:firstLine="0"/>
        <w:spacing w:line="271" w:lineRule="auto"/>
        <w:jc w:val="center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 xml:space="preserve">             «О развитии малого и среднего предпринимательства </w:t>
      </w:r>
    </w:p>
    <w:p>
      <w:pPr>
        <w:spacing w:after="200" w:afterAutospacing="0" w:line="276" w:lineRule="auto"/>
        <w:jc w:val="center"/>
        <w:widowControl/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в Российской Федерации»</w:t>
      </w:r>
    </w:p>
    <w:p>
      <w:pPr>
        <w:ind w:left="0" w:firstLine="709"/>
        <w:spacing w:line="271" w:lineRule="auto"/>
        <w:jc w:val="both"/>
        <w:widowControl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Во исполнение требований части 2 статьи 19 Федерального закона от 24.07.2007 № 209-ФЗ «О развитии малого и среднего предпринимательства в Российской Федерации» информация для субъектов малого и среднего предпринимательства размещается Администрацией Шелаболихинского  района в пределах своей компетенции: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u w:val="single"/>
        </w:rPr>
      </w:pP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Информация о реализации муниципальной программы </w:t>
      </w:r>
      <w:r>
        <w:rPr>
          <w:rFonts w:ascii="Times New Roman" w:hAnsi="Times New Roman" w:eastAsia="Times New Roman"/>
          <w:sz w:val="24"/>
          <w:color w:val="262D2F"/>
          <w:highlight w:val="white"/>
        </w:rPr>
        <w:t>«Поддержка и развитие малого и среднего предпринимательства в Шелаболихинском районе»,</w:t>
      </w:r>
      <w:r>
        <w:rPr>
          <w:rFonts w:ascii="Times New Roman" w:hAnsi="Times New Roman" w:eastAsia="Times New Roman"/>
          <w:sz w:val="24"/>
        </w:rPr>
        <w:t xml:space="preserve"> утверждённой постановлением Администрации Шелаболихинского района </w:t>
      </w:r>
      <w:r>
        <w:rPr>
          <w:rFonts w:ascii="Times New Roman" w:hAnsi="Times New Roman" w:eastAsia="Times New Roman"/>
          <w:sz w:val="24"/>
          <w:color w:val="262D2F"/>
          <w:highlight w:val="white"/>
        </w:rPr>
        <w:t>от 20.11.2020 № 478,</w:t>
      </w:r>
      <w:r>
        <w:rPr>
          <w:rFonts w:ascii="Times New Roman" w:hAnsi="Times New Roman" w:eastAsia="Times New Roman"/>
          <w:sz w:val="24"/>
        </w:rPr>
        <w:t xml:space="preserve">  размещена на официальном сайте Администрации Шелаболихинского района в сети Интернет </w:t>
      </w:r>
      <w:r>
        <w:rPr>
          <w:sz w:val="24"/>
        </w:rPr>
        <w:fldChar w:fldCharType="begin"/>
        <w:instrText xml:space="preserve"> HYPERLINK "https://shelabolixinskoe-r22.gosweb.gosuslugi.ru/deyatelnost/napravleniya-deyatelnosti/biznes-predprinimatelstvo/"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https://shelabolixinskoe-r22.gosweb.gosuslugi.ru/deyatelnost/napravleniya-deyatelnosti/biznes-predprinimatelstvo/</w:t>
      </w:r>
      <w:r>
        <w:rPr>
          <w:sz w:val="24"/>
          <w:color w:val="0000FF"/>
          <w:u w:val="single"/>
        </w:rPr>
        <w:fldChar w:fldCharType="end"/>
      </w:r>
      <w:r>
        <w:rPr>
          <w:rFonts w:ascii="Times New Roman" w:hAnsi="Times New Roman" w:eastAsia="Times New Roman"/>
          <w:sz w:val="24"/>
        </w:rPr>
        <w:t xml:space="preserve"> 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2. О количестве субъектов малого и среднего предпринимательства             и об их классификации по видам экономической деятельности.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 по ссылке: </w:t>
      </w:r>
      <w:r>
        <w:rPr>
          <w:sz w:val="24"/>
        </w:rPr>
        <w:fldChar w:fldCharType="begin"/>
        <w:instrText xml:space="preserve"> HYPERLINK "https://ofd.nalog.ru/"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https://ofd.nalog.ru/</w:t>
      </w:r>
      <w:r>
        <w:rPr>
          <w:sz w:val="24"/>
          <w:color w:val="0000FF"/>
          <w:u w:val="single"/>
        </w:rPr>
        <w:fldChar w:fldCharType="end"/>
      </w:r>
      <w:r>
        <w:rPr>
          <w:rFonts w:ascii="Times New Roman" w:hAnsi="Times New Roman" w:eastAsia="Times New Roman"/>
          <w:sz w:val="24"/>
        </w:rPr>
        <w:t>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Реестр СМСП представляет собой открытую базу данных о российском малом и среднем бизнесе, размещённую на официальном сайте Федеральной налоговой службы Российской Федерации.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В реестре СМСП фиксируется следующая информация: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именные данные: наименование юридического лица или ФИО индивидуального предпринимателя;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индивидуальный номер налогоплательщика;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адресные данные;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дата внесения данных субъекта в реестр среднего и малого предпринимательства;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категория предприятия: микро-, малое или среднее;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специальная отметка, если организация или предприниматель только что открылись;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об используемых субъектом кодах по ОКВЭД; </w:t>
      </w:r>
    </w:p>
    <w:p>
      <w:pPr>
        <w:ind w:left="0" w:firstLine="709"/>
        <w:spacing w:line="271" w:lineRule="auto"/>
        <w:numPr>
          <w:numId w:val="1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о лицензиях, полученных субъектом.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В реестре СМСП можно вести поиск по ИНН, ОГРН, наименованию компании или ФИО индивидуального предпринимателя. Сайт сформирует выписку со всеми данными, которые есть в базе Федеральной налоговой службы Российской Федерации.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sectPr>
          <w:pgSz w:w="11906" w:h="16838"/>
          <w:pgMar w:top="1134" w:right="850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Реестр СМСП открытый и пользоваться им могут все пользователи сети Интернет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3.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>
      <w:pPr>
        <w:ind w:left="720" w:hanging="360"/>
        <w:spacing w:after="200" w:afterAutospacing="0" w:line="276" w:lineRule="auto"/>
        <w:numPr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2"/>
          <w:b/>
        </w:rPr>
      </w:pPr>
      <w:r>
        <w:rPr>
          <w:rFonts w:ascii="Times New Roman" w:hAnsi="Times New Roman" w:eastAsia="Times New Roman"/>
          <w:sz w:val="24"/>
        </w:rPr>
        <w:t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</w:t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"https://econom22.ru/investment/investoram/gosudarstvennaya-podderzhka-investitsionnoy-deyatelnosti/"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https://econom22.ru/investment/investoram/gosudarstvennaya-podderzhka-investitsionnoy-deyatelnosti/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"http://invest.alregn.ru/state_support/government_support_for_investors/"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http://invest.alregn.ru/state_support/government_support_for_investors/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8(385-2) 20-65-53</w:t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lang w:val="en-US"/>
          <w:u w:val="single"/>
        </w:rPr>
        <w:fldChar w:fldCharType="begin"/>
        <w:instrText xml:space="preserve"> HYPERLINK "mailto:econom@alregn.ru"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econom</w:t>
      </w:r>
      <w:r>
        <w:rPr>
          <w:rFonts w:ascii="Times New Roman" w:hAnsi="Times New Roman" w:eastAsia="Times New Roman"/>
          <w:sz w:val="24"/>
          <w:color w:val="0000FF"/>
          <w:u w:val="single"/>
        </w:rPr>
        <w:t>@</w:t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alregn</w:t>
      </w:r>
      <w:r>
        <w:rPr>
          <w:rFonts w:ascii="Times New Roman" w:hAnsi="Times New Roman" w:eastAsia="Times New Roman"/>
          <w:sz w:val="24"/>
          <w:color w:val="0000FF"/>
          <w:u w:val="single"/>
        </w:rPr>
        <w:t>.</w:t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ru</w:t>
      </w:r>
      <w:r>
        <w:rPr>
          <w:sz w:val="24"/>
          <w:color w:val="0000FF"/>
          <w:lang w:val="en-US"/>
          <w:u w:val="single"/>
        </w:rPr>
        <w:fldChar w:fldCharType="end"/>
      </w:r>
    </w:p>
    <w:p>
      <w:pPr>
        <w:ind w:left="720" w:hanging="360"/>
        <w:spacing w:line="264" w:lineRule="auto"/>
        <w:numPr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По вопросам сопровождения инвесторов 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</w:t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8(385-2) 20-65-01</w:t>
      </w:r>
    </w:p>
    <w:p>
      <w:pPr>
        <w:ind w:left="1440" w:hanging="360"/>
        <w:spacing w:line="264" w:lineRule="auto"/>
        <w:numPr>
          <w:ilvl w:val="1"/>
          <w:numId w:val="2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lang w:val="en-US"/>
          <w:u w:val="single"/>
        </w:rPr>
        <w:fldChar w:fldCharType="begin"/>
        <w:instrText xml:space="preserve"> HYPERLINK "mailto:econom@alregn.ru"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econom@alregn.ru</w:t>
      </w:r>
      <w:r>
        <w:rPr>
          <w:sz w:val="24"/>
          <w:color w:val="0000FF"/>
          <w:lang w:val="en-US"/>
          <w:u w:val="single"/>
        </w:rPr>
        <w:fldChar w:fldCharType="end"/>
      </w:r>
    </w:p>
    <w:p>
      <w:pPr>
        <w:ind w:left="720" w:hanging="360"/>
        <w:spacing w:after="200" w:afterAutospacing="0" w:line="276" w:lineRule="auto"/>
        <w:numPr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</w:t>
      </w:r>
    </w:p>
    <w:p>
      <w:pPr>
        <w:ind w:left="1440" w:hanging="360"/>
        <w:spacing w:after="200" w:afterAutospacing="0" w:line="276" w:lineRule="auto"/>
        <w:numPr>
          <w:ilvl w:val="1"/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"https://econom22.ru/leasing/kr_l_fond/"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https://econom22.ru/leasing/kr_l_fond/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after="200" w:afterAutospacing="0" w:line="276" w:lineRule="auto"/>
        <w:numPr>
          <w:ilvl w:val="1"/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8(385-2) 20-65-01</w:t>
      </w:r>
    </w:p>
    <w:p>
      <w:pPr>
        <w:ind w:left="1440" w:hanging="360"/>
        <w:spacing w:after="200" w:afterAutospacing="0" w:line="276" w:lineRule="auto"/>
        <w:numPr>
          <w:ilvl w:val="1"/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lang w:val="en-US"/>
          <w:u w:val="single"/>
        </w:rPr>
        <w:fldChar w:fldCharType="begin"/>
        <w:instrText xml:space="preserve"> HYPERLINK "mailto:econom@alregn.ru"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econom</w:t>
      </w:r>
      <w:r>
        <w:rPr>
          <w:rFonts w:ascii="Times New Roman" w:hAnsi="Times New Roman" w:eastAsia="Times New Roman"/>
          <w:sz w:val="24"/>
          <w:color w:val="0000FF"/>
          <w:u w:val="single"/>
        </w:rPr>
        <w:t>@</w:t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alregn</w:t>
      </w:r>
      <w:r>
        <w:rPr>
          <w:rFonts w:ascii="Times New Roman" w:hAnsi="Times New Roman" w:eastAsia="Times New Roman"/>
          <w:sz w:val="24"/>
          <w:color w:val="0000FF"/>
          <w:u w:val="single"/>
        </w:rPr>
        <w:t>.</w:t>
      </w:r>
      <w:r>
        <w:rPr>
          <w:rFonts w:ascii="Times New Roman" w:hAnsi="Times New Roman" w:eastAsia="Times New Roman"/>
          <w:sz w:val="24"/>
          <w:color w:val="0000FF"/>
          <w:lang w:val="en-US"/>
          <w:u w:val="single"/>
        </w:rPr>
        <w:t>ru</w:t>
      </w:r>
      <w:r>
        <w:rPr>
          <w:sz w:val="24"/>
          <w:color w:val="0000FF"/>
          <w:lang w:val="en-US"/>
          <w:u w:val="single"/>
        </w:rPr>
        <w:fldChar w:fldCharType="end"/>
      </w:r>
    </w:p>
    <w:p>
      <w:pPr>
        <w:ind w:left="720" w:hanging="360"/>
        <w:spacing w:after="200" w:afterAutospacing="0"/>
        <w:numPr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На портале государственных закупок Алтайского края, можно ознакомиться с объявлениями о закупках:</w:t>
      </w:r>
    </w:p>
    <w:p>
      <w:pPr>
        <w:ind w:left="1440" w:hanging="360"/>
        <w:spacing w:after="200" w:afterAutospacing="0"/>
        <w:numPr>
          <w:ilvl w:val="1"/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"http://www.gzalt.ru/DefaultA2.aspx"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http://www.gzalt.ru/DefaultA2.aspx</w:t>
      </w:r>
      <w:r>
        <w:rPr>
          <w:sz w:val="24"/>
          <w:color w:val="0000FF"/>
          <w:u w:val="single"/>
        </w:rPr>
        <w:fldChar w:fldCharType="end"/>
      </w:r>
    </w:p>
    <w:p>
      <w:pPr>
        <w:ind w:left="720" w:hanging="360"/>
        <w:spacing w:after="200" w:afterAutospacing="0"/>
        <w:numPr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«Господдержка»:</w:t>
      </w:r>
    </w:p>
    <w:p>
      <w:pPr>
        <w:ind w:left="1440" w:hanging="360"/>
        <w:spacing w:after="200" w:afterAutospacing="0"/>
        <w:numPr>
          <w:ilvl w:val="1"/>
          <w:numId w:val="2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"https://altagro22.ru/gossupport/programs/"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https://altagro22.ru/gossupport/programs/</w:t>
      </w:r>
      <w:r>
        <w:rPr>
          <w:sz w:val="24"/>
          <w:color w:val="0000FF"/>
          <w:u w:val="single"/>
        </w:rPr>
        <w:fldChar w:fldCharType="end"/>
      </w:r>
    </w:p>
    <w:p>
      <w:pPr>
        <w:ind w:left="720" w:hanging="360"/>
        <w:spacing w:after="200" w:afterAutospacing="0"/>
        <w:numPr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Информация о государственной поддержке, в том числе об организациях инфраструктуры государственной поддержки малого и среднего предпринимательства доступна на сайте Управления Алтайского края по развитию предпринимательства и рыночной инфраструктуры:</w:t>
      </w:r>
    </w:p>
    <w:p>
      <w:pPr>
        <w:ind w:left="1440" w:hanging="360"/>
        <w:spacing w:after="200" w:afterAutospacing="0"/>
        <w:numPr>
          <w:ilvl w:val="1"/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"http://altsmb.ru/index.php/working/fincred-support"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http://altsmb.ru/index.php/working/fincred-support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after="200" w:afterAutospacing="0"/>
        <w:numPr>
          <w:ilvl w:val="1"/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"http://altsmb.ru/index.php/working/infrastruktura-gos-podderzhki"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http://altsmb.ru/index.php/working/infrastruktura-gos-podderzhki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after="200" w:afterAutospacing="0"/>
        <w:numPr>
          <w:ilvl w:val="1"/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"http://altsmb.ru/index.php/working/place"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http://altsmb.ru/index.php/working/place</w:t>
      </w:r>
      <w:r>
        <w:rPr>
          <w:sz w:val="24"/>
          <w:color w:val="0000FF"/>
          <w:u w:val="single"/>
        </w:rPr>
        <w:fldChar w:fldCharType="end"/>
      </w:r>
    </w:p>
    <w:p>
      <w:pPr>
        <w:ind w:left="720" w:hanging="360"/>
        <w:spacing w:after="200" w:afterAutospacing="0"/>
        <w:numPr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Портал информационных ресурсов для предпринимателей:</w:t>
      </w:r>
    </w:p>
    <w:p>
      <w:pPr>
        <w:ind w:left="1440" w:hanging="360"/>
        <w:spacing w:after="200" w:afterAutospacing="0"/>
        <w:numPr>
          <w:ilvl w:val="1"/>
          <w:numId w:val="3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"https://мсп.рф"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https://мсп.рф</w:t>
      </w:r>
      <w:r>
        <w:rPr>
          <w:sz w:val="24"/>
          <w:color w:val="0000FF"/>
          <w:u w:val="single"/>
        </w:rPr>
        <w:fldChar w:fldCharType="end"/>
      </w:r>
    </w:p>
    <w:p>
      <w:pPr>
        <w:ind w:left="720" w:hanging="360"/>
        <w:spacing w:after="200" w:afterAutospacing="0"/>
        <w:numPr>
          <w:numId w:val="4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Алтайский фонд развития малого и среднего предпринимательства:</w:t>
      </w:r>
    </w:p>
    <w:p>
      <w:pPr>
        <w:ind w:left="1440" w:hanging="360"/>
        <w:spacing w:after="200" w:afterAutospacing="0"/>
        <w:numPr>
          <w:ilvl w:val="1"/>
          <w:numId w:val="4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"https://мойбизнес22.рф"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https://мойбизнес22.рф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hanging="360"/>
        <w:spacing w:after="200" w:afterAutospacing="0"/>
        <w:numPr>
          <w:ilvl w:val="1"/>
          <w:numId w:val="4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8 800 222 8322 </w:t>
      </w:r>
    </w:p>
    <w:p>
      <w:pPr>
        <w:ind w:left="720" w:hanging="360"/>
        <w:spacing w:after="200" w:afterAutospacing="0"/>
        <w:numPr>
          <w:numId w:val="4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Список всех информационных ресурсов поддержки субъектов малого и среднего предпринимательства можно найти на сайте Администрации Шелаболихинского района в разделе «Полезные ресурсы»:</w:t>
      </w:r>
    </w:p>
    <w:p>
      <w:pPr>
        <w:ind w:left="1440" w:hanging="360"/>
        <w:spacing w:after="200" w:afterAutospacing="0"/>
        <w:numPr>
          <w:ilvl w:val="1"/>
          <w:numId w:val="4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"https://shelabolixinskoe-r22.gosweb.gosuslugi.ru/deyatelnost/napravleniya-deyatelnosti/biznes-predprinimatelstvo/resurs/"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https://shelabolixinskoe-r22.gosweb.gosuslugi.ru/deyatelnost/napravleniya-deyatelnosti/biznes-predprinimatelstvo/resurs/</w:t>
      </w:r>
      <w:r>
        <w:rPr>
          <w:sz w:val="24"/>
          <w:color w:val="0000FF"/>
          <w:u w:val="single"/>
        </w:rPr>
        <w:fldChar w:fldCharType="end"/>
      </w:r>
    </w:p>
    <w:p>
      <w:pPr>
        <w:ind w:left="1440" w:firstLine="0"/>
        <w:spacing w:after="200" w:afterAutospacing="0"/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</w:p>
    <w:p>
      <w:pPr>
        <w:ind w:left="0" w:firstLine="709"/>
        <w:spacing w:line="264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4. О государственном и муниципальном имуществе, включённом                 в перечни, указанные в части 4 статьи 18 Федерального закона от 24.07.2007         № 209-ФЗ «О развитии малого и среднего предпринимательства в Российской Федерации».</w:t>
      </w:r>
    </w:p>
    <w:p>
      <w:pPr>
        <w:spacing w:line="264" w:lineRule="auto"/>
        <w:jc w:val="both"/>
        <w:widowControl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 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 на сайте Администрации Шелаболихинского района:</w:t>
      </w:r>
    </w:p>
    <w:p>
      <w:pPr>
        <w:ind w:left="720" w:hanging="360"/>
        <w:spacing w:line="271" w:lineRule="auto"/>
        <w:numPr>
          <w:numId w:val="6"/>
        </w:numPr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u w:val="single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"https://shelabolixinskoe-r22.gosweb.gosuslugi.ru/deyatelnost/napravleniya-deyatelnosti/munim/"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https://shelabolixinskoe-r22.gosweb.gosuslugi.ru/deyatelnost/napravleniya-deyatelnosti/munim/</w:t>
      </w:r>
      <w:r>
        <w:rPr>
          <w:sz w:val="24"/>
          <w:color w:val="0000FF"/>
          <w:u w:val="single"/>
        </w:rPr>
        <w:fldChar w:fldCharType="end"/>
      </w:r>
    </w:p>
    <w:p>
      <w:pPr>
        <w:ind w:left="1080" w:firstLine="0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u w:val="single"/>
        </w:rPr>
      </w:pP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5.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200" w:afterAutospacing="0"/>
        <w:jc w:val="both"/>
        <w:widowControl/>
        <w:rPr>
          <w:rFonts w:ascii="Times New Roman" w:hAnsi="Times New Roman" w:eastAsia="Times New Roman"/>
          <w:sz w:val="24"/>
        </w:rPr>
      </w:pPr>
    </w:p>
    <w:p>
      <w:pPr>
        <w:ind w:left="0" w:firstLine="708"/>
        <w:spacing w:after="200" w:afterAutospacing="0"/>
        <w:jc w:val="both"/>
        <w:widowControl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 Управления Алтайского края по развитию предпринимательства и рыночной инфраструктуры:</w:t>
      </w:r>
    </w:p>
    <w:p>
      <w:pPr>
        <w:ind w:left="720" w:hanging="360"/>
        <w:spacing w:after="200" w:afterAutospacing="0"/>
        <w:numPr>
          <w:numId w:val="5"/>
        </w:numPr>
        <w:jc w:val="both"/>
        <w:widowControl/>
        <w:pStyle w:val="ListParagraph"/>
        <w:rPr>
          <w:rFonts w:ascii="Times New Roman" w:hAnsi="Times New Roman" w:eastAsia="Times New Roman"/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"https://www.altsmb.ru/index.php/working/fincred-support"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https://www.altsmb.ru/index.php/working/fincred-support</w:t>
      </w:r>
      <w:r>
        <w:rPr>
          <w:sz w:val="24"/>
          <w:color w:val="0000FF"/>
          <w:u w:val="single"/>
        </w:rPr>
        <w:fldChar w:fldCharType="end"/>
      </w:r>
    </w:p>
    <w:p>
      <w:pPr>
        <w:spacing w:after="200" w:afterAutospacing="0"/>
        <w:jc w:val="both"/>
        <w:widowControl/>
        <w:pStyle w:val="ListParagraph"/>
        <w:rPr>
          <w:sz w:val="22"/>
        </w:rPr>
      </w:pP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  <w:b/>
          <w:u w:val="single"/>
        </w:rPr>
      </w:pPr>
      <w:r>
        <w:rPr>
          <w:rFonts w:ascii="Times New Roman" w:hAnsi="Times New Roman" w:eastAsia="Times New Roman"/>
          <w:sz w:val="24"/>
          <w:b/>
          <w:u w:val="single"/>
        </w:rPr>
        <w:t>6.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>
      <w:pPr>
        <w:ind w:left="0" w:firstLine="709"/>
        <w:spacing w:line="271" w:lineRule="auto"/>
        <w:jc w:val="both"/>
        <w:widowControl/>
        <w:pStyle w:val="ListParagrap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В Алтайском крае для субъектов малого и среднего предпринимательства, в том числе действующих на территории Шелаболихинского района, реализуется широкий спектр финансовой, консультационной и иных мер  государственной поддержки в рамках национального проекта «Малое и среднее предпринимательство», инициированного Президентом Российской Федерации Владимиром Путиным.</w:t>
      </w:r>
    </w:p>
    <w:p>
      <w:pPr>
        <w:ind w:left="0" w:firstLine="708"/>
        <w:spacing w:after="200" w:afterAutospacing="0" w:line="276" w:lineRule="auto"/>
        <w:jc w:val="both"/>
        <w:widowControl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Получить подробную и актуальную информацию о существующих мерах поддержки, ознакомиться с нормативными правовыми актами можно на официальном сайте управления: </w:t>
      </w:r>
      <w:r>
        <w:rPr>
          <w:sz w:val="24"/>
        </w:rPr>
        <w:fldChar w:fldCharType="begin"/>
        <w:instrText xml:space="preserve"> HYPERLINK "http://altsmb.ru"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http://altsmb.ru</w:t>
      </w:r>
      <w:r>
        <w:rPr>
          <w:sz w:val="24"/>
          <w:color w:val="0000FF"/>
          <w:u w:val="single"/>
        </w:rPr>
        <w:fldChar w:fldCharType="end"/>
      </w:r>
      <w:r>
        <w:rPr>
          <w:rFonts w:ascii="Times New Roman" w:hAnsi="Times New Roman" w:eastAsia="Times New Roman"/>
          <w:sz w:val="24"/>
        </w:rPr>
        <w:t xml:space="preserve"> , центра «Мой бизнес»: </w:t>
      </w:r>
      <w:r>
        <w:rPr>
          <w:sz w:val="24"/>
        </w:rPr>
        <w:fldChar w:fldCharType="begin"/>
        <w:instrText xml:space="preserve"> HYPERLINK "http://мойбизнес22.рф"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http://мойбизнес22.рф</w:t>
      </w:r>
      <w:r>
        <w:rPr>
          <w:sz w:val="24"/>
          <w:color w:val="0000FF"/>
          <w:u w:val="single"/>
        </w:rPr>
        <w:fldChar w:fldCharType="end"/>
      </w:r>
      <w:r>
        <w:rPr>
          <w:rFonts w:ascii="Times New Roman" w:hAnsi="Times New Roman" w:eastAsia="Times New Roman"/>
          <w:sz w:val="24"/>
        </w:rPr>
        <w:t>, по телефонам: (3852) 24-24-82, 8-800-222-83-22.</w:t>
      </w:r>
    </w:p>
    <w:p>
      <w:pPr>
        <w:ind w:left="0" w:firstLine="708"/>
        <w:spacing w:after="200" w:afterAutospacing="0" w:line="276" w:lineRule="auto"/>
        <w:jc w:val="both"/>
        <w:widowControl/>
        <w:rPr>
          <w:sz w:val="24"/>
        </w:rPr>
      </w:pPr>
      <w:r>
        <w:rPr>
          <w:rFonts w:ascii="Times New Roman" w:hAnsi="Times New Roman" w:eastAsia="Times New Roman"/>
          <w:sz w:val="24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 размещается на официальном сайте Администрации Шелаболихинского района</w:t>
      </w:r>
      <w:r>
        <w:rPr>
          <w:sz w:val="24"/>
        </w:rPr>
        <w:t xml:space="preserve"> </w:t>
      </w:r>
      <w:r>
        <w:rPr>
          <w:sz w:val="24"/>
        </w:rPr>
        <w:fldChar w:fldCharType="begin"/>
        <w:instrText xml:space="preserve"> HYPERLINK "https://shelabolixinskoe-r22.gosweb.gosuslugi.ru/deyatelnost/napravleniya-deyatelnosti/biznes-predprinimatelstvo/" </w:instrText>
        <w:fldChar w:fldCharType="separate"/>
      </w:r>
      <w:r>
        <w:rPr>
          <w:rFonts w:ascii="Times New Roman" w:hAnsi="Times New Roman" w:eastAsia="Times New Roman"/>
          <w:sz w:val="24"/>
          <w:color w:val="0000FF"/>
          <w:u w:val="single"/>
        </w:rPr>
        <w:t>https://shelabolixinskoe-r22.gosweb.gosuslugi.ru/deyatelnost/napravleniya-deyatelnosti/biznes-predprinimatelstvo/</w:t>
      </w:r>
      <w:r>
        <w:rPr>
          <w:sz w:val="24"/>
          <w:color w:val="0000FF"/>
          <w:u w:val="single"/>
        </w:rPr>
        <w:fldChar w:fldCharType="end"/>
      </w:r>
    </w:p>
    <w:p>
      <w:pPr>
        <w:ind w:left="0" w:firstLine="708"/>
        <w:spacing w:after="200" w:afterAutospacing="0" w:line="276" w:lineRule="auto"/>
        <w:jc w:val="both"/>
        <w:widowControl/>
        <w:rPr>
          <w:rFonts w:ascii="Times New Roman" w:hAnsi="Times New Roman" w:eastAsia="Times New Roman"/>
          <w:sz w:val="24"/>
        </w:rPr>
      </w:pPr>
    </w:p>
    <w:sectPr>
      <w:pgSz w:w="11906" w:h="16838"/>
      <w:pgMar w:top="1134" w:right="850" w:bottom="1134" w:left="1701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multilevel"/>
    <w:lvl w:ilvl="0">
      <w:start w:val="1"/>
      <w:numFmt w:val="bullet"/>
      <w:rPr>
        <w:rFonts w:ascii="Courier New" w:hAnsi="Courier New" w:eastAsia="Courier New"/>
      </w:rPr>
      <w:pPr>
        <w:ind w:left="720" w:hanging="360"/>
      </w:pPr>
      <w:lvlJc w:val="left"/>
      <w:lvlText w:val="o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5">
    <w:multiLevelType w:val="multilevel"/>
    <w:lvl w:ilvl="0">
      <w:start w:val="1"/>
      <w:numFmt w:val="bullet"/>
      <w:rPr>
        <w:rFonts w:ascii="Courier New" w:hAnsi="Courier New" w:eastAsia="Courier New"/>
      </w:rPr>
      <w:pPr>
        <w:ind w:left="720" w:hanging="360"/>
      </w:pPr>
      <w:lvlJc w:val="left"/>
      <w:lvlText w:val="o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4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3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2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1">
    <w:multiLevelType w:val="multilevel"/>
    <w:lvl w:ilvl="0">
      <w:start w:val="1"/>
      <w:numFmt w:val="bullet"/>
      <w:rPr>
        <w:rFonts w:ascii="Symbol" w:hAnsi="Symbol" w:eastAsia="Symbol"/>
      </w:rPr>
      <w:pPr>
        <w:ind w:left="1429" w:hanging="360"/>
      </w:pPr>
      <w:lvlJc w:val="left"/>
      <w:lvlText w:val="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2149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869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3589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4309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5029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749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6469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7189" w:hanging="360"/>
      </w:pPr>
      <w:lvlJc w:val="left"/>
      <w:lvlText w:val=""/>
      <w:suff w:val="tab"/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20"/>
  <w:defaultTabStop w:val="708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  <w:widowControl w:val="0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Heading1">
    <w:name w:val="heading 1"/>
    <w:basedOn w:val="Normal"/>
    <w:next w:val="Normal"/>
    <w:rPr>
      <w:rFonts w:ascii="Cambria" w:hAnsi="Cambria" w:eastAsia="Cambria"/>
      <w:sz w:val="28"/>
      <w:b/>
      <w:color w:val="365F91"/>
    </w:rPr>
    <w:pPr>
      <w:spacing w:before="480" w:beforeAutospacing="0" w:after="0" w:afterAutospacing="0"/>
      <w:keepNext/>
      <w:keepLines/>
      <w:outlineLvl w:val="0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noteText">
    <w:name w:val="footnote text"/>
    <w:basedOn w:val="Normal"/>
    <w:rPr>
      <w:sz w:val="20"/>
    </w:rPr>
    <w:pPr>
      <w:spacing w:after="0" w:afterAutospacing="0" w:line="240" w:lineRule="auto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6640</Characters>
  <CharactersWithSpaces>7411</CharactersWithSpaces>
  <Words>764</Words>
  <Pages>3</Pages>
  <Company>SPecialiST RePack</Company>
  <Paragraphs>68</Paragraphs>
  <Application>Atlantis Word Processor</Application>
  <!-- awp:appVersion=4.3.7.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Isambetova</dc:creator>
  <cp:lastModifiedBy>Admin</cp:lastModifiedBy>
  <dcterms:created xsi:type="dcterms:W3CDTF">2024-02-21T04:58:00Z</dcterms:created>
  <dcterms:modified xsi:type="dcterms:W3CDTF">2024-02-26T09:47:27Z</dcterms:modified>
  <cp:revision>8</cp:revision>
</cp:coreProperties>
</file>